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272EA" w14:textId="7685D795" w:rsidR="00B276C7" w:rsidRPr="00B276C7" w:rsidRDefault="00B276C7" w:rsidP="00B276C7">
      <w:pPr>
        <w:pStyle w:val="paragraph"/>
        <w:spacing w:before="0" w:after="0"/>
        <w:jc w:val="center"/>
        <w:rPr>
          <w:rFonts w:ascii="Verdana" w:hAnsi="Verdana"/>
          <w:b/>
          <w:sz w:val="22"/>
        </w:rPr>
      </w:pPr>
      <w:r w:rsidRPr="00B276C7">
        <w:rPr>
          <w:rFonts w:ascii="Verdana" w:eastAsia="Bree Serif" w:hAnsi="Verdana" w:cs="Bree Serif"/>
          <w:b/>
          <w:color w:val="0C505D"/>
          <w:sz w:val="28"/>
          <w:szCs w:val="32"/>
          <w:u w:color="0C505D"/>
        </w:rPr>
        <w:t xml:space="preserve">The Court of Appeal Scheme (“COAS”) </w:t>
      </w:r>
      <w:r w:rsidRPr="00B276C7">
        <w:rPr>
          <w:rFonts w:ascii="Verdana" w:eastAsia="Bree Serif" w:hAnsi="Verdana" w:cs="Bree Serif"/>
          <w:b/>
          <w:color w:val="0C505D"/>
          <w:sz w:val="28"/>
          <w:szCs w:val="32"/>
          <w:u w:color="0C505D"/>
        </w:rPr>
        <w:br/>
      </w:r>
      <w:r w:rsidR="00AD6609">
        <w:rPr>
          <w:rFonts w:ascii="Verdana" w:eastAsia="Bree Serif" w:hAnsi="Verdana" w:cs="Bree Serif"/>
          <w:b/>
          <w:color w:val="0C505D"/>
          <w:sz w:val="28"/>
          <w:szCs w:val="32"/>
          <w:u w:color="0C505D"/>
        </w:rPr>
        <w:t>Do you need help with your a</w:t>
      </w:r>
      <w:r w:rsidRPr="00B276C7">
        <w:rPr>
          <w:rFonts w:ascii="Verdana" w:eastAsia="Bree Serif" w:hAnsi="Verdana" w:cs="Bree Serif"/>
          <w:b/>
          <w:color w:val="0C505D"/>
          <w:sz w:val="28"/>
          <w:szCs w:val="32"/>
          <w:u w:color="0C505D"/>
        </w:rPr>
        <w:t>pplication for Permission to Appeal</w:t>
      </w:r>
      <w:r w:rsidR="00AD6609">
        <w:rPr>
          <w:rFonts w:ascii="Verdana" w:eastAsia="Bree Serif" w:hAnsi="Verdana" w:cs="Bree Serif"/>
          <w:b/>
          <w:color w:val="0C505D"/>
          <w:sz w:val="28"/>
          <w:szCs w:val="32"/>
          <w:u w:color="0C505D"/>
        </w:rPr>
        <w:t>?</w:t>
      </w:r>
    </w:p>
    <w:p w14:paraId="5ACF38F9" w14:textId="28F2DEE9" w:rsidR="00EF7B57" w:rsidRDefault="00EF7B57" w:rsidP="00B276C7">
      <w:pPr>
        <w:jc w:val="center"/>
      </w:pPr>
    </w:p>
    <w:p w14:paraId="5AC98A9D" w14:textId="705AE806" w:rsidR="00B276C7" w:rsidRPr="00B90D9A" w:rsidRDefault="00AD6609" w:rsidP="00B276C7">
      <w:pPr>
        <w:rPr>
          <w:sz w:val="26"/>
          <w:szCs w:val="26"/>
        </w:rPr>
      </w:pPr>
      <w:r w:rsidRPr="00B90D9A">
        <w:rPr>
          <w:sz w:val="26"/>
          <w:szCs w:val="26"/>
        </w:rPr>
        <w:t>If you are a Litigant in Person and have</w:t>
      </w:r>
      <w:r w:rsidR="00B276C7" w:rsidRPr="00B90D9A">
        <w:rPr>
          <w:sz w:val="26"/>
          <w:szCs w:val="26"/>
        </w:rPr>
        <w:t xml:space="preserve"> </w:t>
      </w:r>
      <w:r w:rsidRPr="00B90D9A">
        <w:rPr>
          <w:sz w:val="26"/>
          <w:szCs w:val="26"/>
        </w:rPr>
        <w:t>submitted your</w:t>
      </w:r>
      <w:r w:rsidR="00B276C7" w:rsidRPr="00B90D9A">
        <w:rPr>
          <w:sz w:val="26"/>
          <w:szCs w:val="26"/>
        </w:rPr>
        <w:t xml:space="preserve"> </w:t>
      </w:r>
      <w:r w:rsidRPr="00B90D9A">
        <w:rPr>
          <w:sz w:val="26"/>
          <w:szCs w:val="26"/>
        </w:rPr>
        <w:t>A</w:t>
      </w:r>
      <w:r w:rsidR="00B276C7" w:rsidRPr="00B90D9A">
        <w:rPr>
          <w:sz w:val="26"/>
          <w:szCs w:val="26"/>
        </w:rPr>
        <w:t xml:space="preserve">ppellant’s </w:t>
      </w:r>
      <w:r w:rsidRPr="00B90D9A">
        <w:rPr>
          <w:sz w:val="26"/>
          <w:szCs w:val="26"/>
        </w:rPr>
        <w:t>N</w:t>
      </w:r>
      <w:r w:rsidR="00B276C7" w:rsidRPr="00B90D9A">
        <w:rPr>
          <w:sz w:val="26"/>
          <w:szCs w:val="26"/>
        </w:rPr>
        <w:t>otice</w:t>
      </w:r>
      <w:r w:rsidRPr="00B90D9A">
        <w:rPr>
          <w:sz w:val="26"/>
          <w:szCs w:val="26"/>
        </w:rPr>
        <w:t xml:space="preserve"> to the</w:t>
      </w:r>
      <w:r w:rsidR="00496B91" w:rsidRPr="00B90D9A">
        <w:rPr>
          <w:sz w:val="26"/>
          <w:szCs w:val="26"/>
        </w:rPr>
        <w:t xml:space="preserve"> </w:t>
      </w:r>
      <w:r w:rsidR="00496B91" w:rsidRPr="00B90D9A">
        <w:rPr>
          <w:b/>
          <w:bCs/>
          <w:sz w:val="26"/>
          <w:szCs w:val="26"/>
        </w:rPr>
        <w:t>Civil Division</w:t>
      </w:r>
      <w:r w:rsidR="00496B91" w:rsidRPr="00B90D9A">
        <w:rPr>
          <w:sz w:val="26"/>
          <w:szCs w:val="26"/>
        </w:rPr>
        <w:t xml:space="preserve"> of the</w:t>
      </w:r>
      <w:r w:rsidRPr="00B90D9A">
        <w:rPr>
          <w:sz w:val="26"/>
          <w:szCs w:val="26"/>
        </w:rPr>
        <w:t xml:space="preserve"> Court of Appeal,</w:t>
      </w:r>
      <w:r w:rsidR="00B276C7" w:rsidRPr="00B90D9A">
        <w:rPr>
          <w:sz w:val="26"/>
          <w:szCs w:val="26"/>
        </w:rPr>
        <w:t xml:space="preserve"> </w:t>
      </w:r>
      <w:r w:rsidRPr="00B90D9A">
        <w:rPr>
          <w:sz w:val="26"/>
          <w:szCs w:val="26"/>
        </w:rPr>
        <w:t>you may be eligible for</w:t>
      </w:r>
      <w:r w:rsidR="00B276C7" w:rsidRPr="00B90D9A">
        <w:rPr>
          <w:sz w:val="26"/>
          <w:szCs w:val="26"/>
        </w:rPr>
        <w:t xml:space="preserve"> help from the Court</w:t>
      </w:r>
      <w:r w:rsidR="00633A7E" w:rsidRPr="00B90D9A">
        <w:rPr>
          <w:sz w:val="26"/>
          <w:szCs w:val="26"/>
        </w:rPr>
        <w:t xml:space="preserve"> of Appeal Scheme</w:t>
      </w:r>
      <w:r w:rsidR="00B276C7" w:rsidRPr="00B90D9A">
        <w:rPr>
          <w:sz w:val="26"/>
          <w:szCs w:val="26"/>
        </w:rPr>
        <w:t xml:space="preserve"> </w:t>
      </w:r>
      <w:r w:rsidR="00633A7E" w:rsidRPr="00B90D9A">
        <w:rPr>
          <w:sz w:val="26"/>
          <w:szCs w:val="26"/>
        </w:rPr>
        <w:t>(“</w:t>
      </w:r>
      <w:r w:rsidR="00B276C7" w:rsidRPr="00B90D9A">
        <w:rPr>
          <w:sz w:val="26"/>
          <w:szCs w:val="26"/>
        </w:rPr>
        <w:t>COAS</w:t>
      </w:r>
      <w:r w:rsidR="00633A7E" w:rsidRPr="00B90D9A">
        <w:rPr>
          <w:sz w:val="26"/>
          <w:szCs w:val="26"/>
        </w:rPr>
        <w:t>”</w:t>
      </w:r>
      <w:r w:rsidR="00451B4B" w:rsidRPr="00B90D9A">
        <w:rPr>
          <w:sz w:val="26"/>
          <w:szCs w:val="26"/>
        </w:rPr>
        <w:t>), run</w:t>
      </w:r>
      <w:r w:rsidR="00410ED2" w:rsidRPr="00B90D9A">
        <w:rPr>
          <w:sz w:val="26"/>
          <w:szCs w:val="26"/>
        </w:rPr>
        <w:t xml:space="preserve"> by Advocate in collaboration with </w:t>
      </w:r>
      <w:r w:rsidR="00F10EB6" w:rsidRPr="00B90D9A">
        <w:rPr>
          <w:sz w:val="26"/>
          <w:szCs w:val="26"/>
        </w:rPr>
        <w:t xml:space="preserve">the </w:t>
      </w:r>
      <w:r w:rsidR="0015626A" w:rsidRPr="00B90D9A">
        <w:rPr>
          <w:sz w:val="26"/>
          <w:szCs w:val="26"/>
        </w:rPr>
        <w:t>Court of Appeal</w:t>
      </w:r>
      <w:r w:rsidR="00B276C7" w:rsidRPr="00B90D9A">
        <w:rPr>
          <w:sz w:val="26"/>
          <w:szCs w:val="26"/>
        </w:rPr>
        <w:t>.</w:t>
      </w:r>
      <w:r w:rsidR="00252273" w:rsidRPr="00B90D9A">
        <w:rPr>
          <w:sz w:val="26"/>
          <w:szCs w:val="26"/>
        </w:rPr>
        <w:t xml:space="preserve"> Unfortunately, COAS cannot assist with cases in the Family Court. </w:t>
      </w:r>
    </w:p>
    <w:p w14:paraId="00D780EE" w14:textId="553A0040" w:rsidR="00B276C7" w:rsidRPr="00B90D9A" w:rsidRDefault="00B276C7" w:rsidP="00B276C7">
      <w:pPr>
        <w:rPr>
          <w:sz w:val="26"/>
          <w:szCs w:val="26"/>
        </w:rPr>
      </w:pPr>
      <w:r w:rsidRPr="00B90D9A">
        <w:rPr>
          <w:sz w:val="26"/>
          <w:szCs w:val="26"/>
        </w:rPr>
        <w:t>Under the scheme</w:t>
      </w:r>
      <w:r w:rsidR="00410ED2" w:rsidRPr="00B90D9A">
        <w:rPr>
          <w:sz w:val="26"/>
          <w:szCs w:val="26"/>
        </w:rPr>
        <w:t>,</w:t>
      </w:r>
      <w:r w:rsidRPr="00B90D9A">
        <w:rPr>
          <w:sz w:val="26"/>
          <w:szCs w:val="26"/>
        </w:rPr>
        <w:t xml:space="preserve"> a </w:t>
      </w:r>
      <w:r w:rsidR="000F6DF1" w:rsidRPr="00B90D9A">
        <w:rPr>
          <w:sz w:val="26"/>
          <w:szCs w:val="26"/>
        </w:rPr>
        <w:t>barrister</w:t>
      </w:r>
      <w:r w:rsidR="00473109" w:rsidRPr="00B90D9A">
        <w:rPr>
          <w:sz w:val="26"/>
          <w:szCs w:val="26"/>
        </w:rPr>
        <w:t xml:space="preserve"> </w:t>
      </w:r>
      <w:r w:rsidR="00004868" w:rsidRPr="00B90D9A">
        <w:rPr>
          <w:sz w:val="26"/>
          <w:szCs w:val="26"/>
        </w:rPr>
        <w:t>volunteering</w:t>
      </w:r>
      <w:r w:rsidR="00473109" w:rsidRPr="00B90D9A">
        <w:rPr>
          <w:sz w:val="26"/>
          <w:szCs w:val="26"/>
        </w:rPr>
        <w:t xml:space="preserve"> under the </w:t>
      </w:r>
      <w:r w:rsidR="00004868" w:rsidRPr="00B90D9A">
        <w:rPr>
          <w:sz w:val="26"/>
          <w:szCs w:val="26"/>
        </w:rPr>
        <w:t>auspices</w:t>
      </w:r>
      <w:r w:rsidR="00473109" w:rsidRPr="00B90D9A">
        <w:rPr>
          <w:sz w:val="26"/>
          <w:szCs w:val="26"/>
        </w:rPr>
        <w:t xml:space="preserve"> of Advocate </w:t>
      </w:r>
      <w:r w:rsidRPr="00B90D9A">
        <w:rPr>
          <w:sz w:val="26"/>
          <w:szCs w:val="26"/>
        </w:rPr>
        <w:t>will:</w:t>
      </w:r>
    </w:p>
    <w:p w14:paraId="6679E068" w14:textId="77777777" w:rsidR="001847FA" w:rsidRPr="00B90D9A" w:rsidRDefault="00B276C7" w:rsidP="00B276C7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90D9A">
        <w:rPr>
          <w:sz w:val="26"/>
          <w:szCs w:val="26"/>
        </w:rPr>
        <w:t xml:space="preserve">Assess the merits of your application and consider your prospects of success before your case goes </w:t>
      </w:r>
      <w:r w:rsidR="00F10EB6" w:rsidRPr="00B90D9A">
        <w:rPr>
          <w:sz w:val="26"/>
          <w:szCs w:val="26"/>
        </w:rPr>
        <w:t>to</w:t>
      </w:r>
      <w:r w:rsidRPr="00B90D9A">
        <w:rPr>
          <w:sz w:val="26"/>
          <w:szCs w:val="26"/>
        </w:rPr>
        <w:t xml:space="preserve"> a reviewing judge.</w:t>
      </w:r>
    </w:p>
    <w:p w14:paraId="6CA2ED97" w14:textId="21456C74" w:rsidR="00B276C7" w:rsidRPr="00B90D9A" w:rsidRDefault="00B276C7" w:rsidP="00B276C7">
      <w:pPr>
        <w:rPr>
          <w:sz w:val="26"/>
          <w:szCs w:val="26"/>
        </w:rPr>
      </w:pPr>
      <w:r w:rsidRPr="00B90D9A">
        <w:rPr>
          <w:sz w:val="26"/>
          <w:szCs w:val="26"/>
        </w:rPr>
        <w:t>If your application has merit</w:t>
      </w:r>
      <w:r w:rsidR="00410ED2" w:rsidRPr="00B90D9A">
        <w:rPr>
          <w:sz w:val="26"/>
          <w:szCs w:val="26"/>
        </w:rPr>
        <w:t>,</w:t>
      </w:r>
      <w:r w:rsidRPr="00B90D9A">
        <w:rPr>
          <w:sz w:val="26"/>
          <w:szCs w:val="26"/>
        </w:rPr>
        <w:t xml:space="preserve"> then the volunteer lawyer may:</w:t>
      </w:r>
    </w:p>
    <w:p w14:paraId="4181B02B" w14:textId="4DF3BD60" w:rsidR="00B276C7" w:rsidRPr="00B90D9A" w:rsidRDefault="00B276C7" w:rsidP="00B276C7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90D9A">
        <w:rPr>
          <w:sz w:val="26"/>
          <w:szCs w:val="26"/>
        </w:rPr>
        <w:t>Draft a skeleton argument to support your application; and/or</w:t>
      </w:r>
    </w:p>
    <w:p w14:paraId="27503445" w14:textId="18D83DA6" w:rsidR="00B276C7" w:rsidRPr="00B90D9A" w:rsidRDefault="00B276C7" w:rsidP="00496B9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B90D9A">
        <w:rPr>
          <w:sz w:val="26"/>
          <w:szCs w:val="26"/>
        </w:rPr>
        <w:t>Represent you</w:t>
      </w:r>
      <w:r w:rsidR="001847FA" w:rsidRPr="00B90D9A">
        <w:rPr>
          <w:sz w:val="26"/>
          <w:szCs w:val="26"/>
        </w:rPr>
        <w:t xml:space="preserve"> </w:t>
      </w:r>
      <w:r w:rsidR="00633A7E" w:rsidRPr="00B90D9A">
        <w:rPr>
          <w:sz w:val="26"/>
          <w:szCs w:val="26"/>
        </w:rPr>
        <w:t>if you are</w:t>
      </w:r>
      <w:r w:rsidR="001847FA" w:rsidRPr="00B90D9A">
        <w:rPr>
          <w:sz w:val="26"/>
          <w:szCs w:val="26"/>
        </w:rPr>
        <w:t xml:space="preserve"> required to</w:t>
      </w:r>
      <w:r w:rsidRPr="00B90D9A">
        <w:rPr>
          <w:sz w:val="26"/>
          <w:szCs w:val="26"/>
        </w:rPr>
        <w:t xml:space="preserve"> </w:t>
      </w:r>
      <w:r w:rsidR="001847FA" w:rsidRPr="00B90D9A">
        <w:rPr>
          <w:sz w:val="26"/>
          <w:szCs w:val="26"/>
        </w:rPr>
        <w:t>attend an oral hearing for your</w:t>
      </w:r>
      <w:r w:rsidRPr="00B90D9A">
        <w:rPr>
          <w:sz w:val="26"/>
          <w:szCs w:val="26"/>
        </w:rPr>
        <w:t xml:space="preserve"> appli</w:t>
      </w:r>
      <w:r w:rsidR="00633A7E" w:rsidRPr="00B90D9A">
        <w:rPr>
          <w:sz w:val="26"/>
          <w:szCs w:val="26"/>
        </w:rPr>
        <w:t>cation for permission to appeal</w:t>
      </w:r>
      <w:r w:rsidR="0015626A" w:rsidRPr="00B90D9A">
        <w:rPr>
          <w:sz w:val="26"/>
          <w:szCs w:val="26"/>
        </w:rPr>
        <w:t>; and/or</w:t>
      </w:r>
      <w:r w:rsidR="00496B91" w:rsidRPr="00B90D9A">
        <w:rPr>
          <w:sz w:val="26"/>
          <w:szCs w:val="26"/>
        </w:rPr>
        <w:t xml:space="preserve"> r</w:t>
      </w:r>
      <w:r w:rsidR="00AD6609" w:rsidRPr="00B90D9A">
        <w:rPr>
          <w:sz w:val="26"/>
          <w:szCs w:val="26"/>
        </w:rPr>
        <w:t>epresent you if you participate in mediation once permission to appeal has been granted</w:t>
      </w:r>
      <w:r w:rsidR="00D23849" w:rsidRPr="00B90D9A">
        <w:rPr>
          <w:sz w:val="26"/>
          <w:szCs w:val="26"/>
        </w:rPr>
        <w:t>.</w:t>
      </w:r>
    </w:p>
    <w:p w14:paraId="53E43518" w14:textId="786F46C1" w:rsidR="00AD6609" w:rsidRPr="00B90D9A" w:rsidRDefault="00B276C7" w:rsidP="00B276C7">
      <w:pPr>
        <w:rPr>
          <w:sz w:val="26"/>
          <w:szCs w:val="26"/>
        </w:rPr>
      </w:pPr>
      <w:r w:rsidRPr="00B90D9A">
        <w:rPr>
          <w:sz w:val="26"/>
          <w:szCs w:val="26"/>
        </w:rPr>
        <w:t xml:space="preserve">To </w:t>
      </w:r>
      <w:r w:rsidR="00AD6609" w:rsidRPr="00B90D9A">
        <w:rPr>
          <w:sz w:val="26"/>
          <w:szCs w:val="26"/>
        </w:rPr>
        <w:t xml:space="preserve">apply for help </w:t>
      </w:r>
      <w:r w:rsidRPr="00B90D9A">
        <w:rPr>
          <w:sz w:val="26"/>
          <w:szCs w:val="26"/>
        </w:rPr>
        <w:t xml:space="preserve">please </w:t>
      </w:r>
      <w:r w:rsidR="00AD6609" w:rsidRPr="00B90D9A">
        <w:rPr>
          <w:sz w:val="26"/>
          <w:szCs w:val="26"/>
        </w:rPr>
        <w:t xml:space="preserve">provide the following documents to Advocate at </w:t>
      </w:r>
      <w:r w:rsidR="00410ED2" w:rsidRPr="00B90D9A">
        <w:rPr>
          <w:b/>
          <w:bCs/>
          <w:sz w:val="26"/>
          <w:szCs w:val="26"/>
        </w:rPr>
        <w:t>coas@weareadvocate.org.uk</w:t>
      </w:r>
      <w:r w:rsidR="00410ED2" w:rsidRPr="00B90D9A">
        <w:rPr>
          <w:sz w:val="26"/>
          <w:szCs w:val="26"/>
        </w:rPr>
        <w:t xml:space="preserve"> </w:t>
      </w:r>
      <w:hyperlink r:id="rId8" w:history="1"/>
      <w:r w:rsidRPr="00B90D9A">
        <w:rPr>
          <w:sz w:val="26"/>
          <w:szCs w:val="26"/>
        </w:rPr>
        <w:t>or</w:t>
      </w:r>
      <w:r w:rsidR="001847FA" w:rsidRPr="00B90D9A">
        <w:rPr>
          <w:sz w:val="26"/>
          <w:szCs w:val="26"/>
        </w:rPr>
        <w:t xml:space="preserve"> you can</w:t>
      </w:r>
      <w:r w:rsidRPr="00B90D9A">
        <w:rPr>
          <w:sz w:val="26"/>
          <w:szCs w:val="26"/>
        </w:rPr>
        <w:t xml:space="preserve"> post </w:t>
      </w:r>
      <w:r w:rsidR="00AD6609" w:rsidRPr="00B90D9A">
        <w:rPr>
          <w:sz w:val="26"/>
          <w:szCs w:val="26"/>
        </w:rPr>
        <w:t>them to</w:t>
      </w:r>
      <w:r w:rsidR="000F6DF1" w:rsidRPr="00B90D9A">
        <w:rPr>
          <w:sz w:val="26"/>
          <w:szCs w:val="26"/>
        </w:rPr>
        <w:t xml:space="preserve"> </w:t>
      </w:r>
      <w:r w:rsidR="001C78D8" w:rsidRPr="00B90D9A">
        <w:rPr>
          <w:sz w:val="26"/>
          <w:szCs w:val="26"/>
        </w:rPr>
        <w:t>Advocate</w:t>
      </w:r>
      <w:r w:rsidR="00AD6609" w:rsidRPr="00B90D9A">
        <w:rPr>
          <w:sz w:val="26"/>
          <w:szCs w:val="26"/>
        </w:rPr>
        <w:t xml:space="preserve"> (COAS)</w:t>
      </w:r>
      <w:r w:rsidR="001C78D8" w:rsidRPr="00B90D9A">
        <w:rPr>
          <w:sz w:val="26"/>
          <w:szCs w:val="26"/>
        </w:rPr>
        <w:t xml:space="preserve"> at 2nd Floor Lincoln House, 296-302 High Holborn, London WC1V 7JH</w:t>
      </w:r>
      <w:r w:rsidR="00AD6609" w:rsidRPr="00B90D9A">
        <w:rPr>
          <w:sz w:val="26"/>
          <w:szCs w:val="26"/>
        </w:rPr>
        <w:t xml:space="preserve">: </w:t>
      </w:r>
    </w:p>
    <w:p w14:paraId="68E09AC8" w14:textId="5614C5E5" w:rsidR="00252273" w:rsidRPr="00B90D9A" w:rsidRDefault="00252273" w:rsidP="00BB4AED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B90D9A">
        <w:rPr>
          <w:sz w:val="26"/>
          <w:szCs w:val="26"/>
        </w:rPr>
        <w:t>A copy of your Core Bundle</w:t>
      </w:r>
    </w:p>
    <w:p w14:paraId="4ABDA708" w14:textId="6A8419D9" w:rsidR="00BB4AED" w:rsidRPr="00B90D9A" w:rsidRDefault="00BB4AED" w:rsidP="00BB4AED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B90D9A">
        <w:rPr>
          <w:sz w:val="26"/>
          <w:szCs w:val="26"/>
        </w:rPr>
        <w:t>A copy of your Sealed Appellant’s Notice and Grounds of Appeal</w:t>
      </w:r>
    </w:p>
    <w:p w14:paraId="177BD82F" w14:textId="77777777" w:rsidR="00BB4AED" w:rsidRPr="00B90D9A" w:rsidRDefault="00BB4AED" w:rsidP="00BB4AED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B90D9A">
        <w:rPr>
          <w:sz w:val="26"/>
          <w:szCs w:val="26"/>
        </w:rPr>
        <w:t xml:space="preserve">A copy of the Order you wish to </w:t>
      </w:r>
      <w:proofErr w:type="gramStart"/>
      <w:r w:rsidRPr="00B90D9A">
        <w:rPr>
          <w:sz w:val="26"/>
          <w:szCs w:val="26"/>
        </w:rPr>
        <w:t>appeal</w:t>
      </w:r>
      <w:proofErr w:type="gramEnd"/>
    </w:p>
    <w:p w14:paraId="057D13A6" w14:textId="75F8CFA9" w:rsidR="00451B4B" w:rsidRPr="00B90D9A" w:rsidRDefault="00BB4AED" w:rsidP="00C03D5B">
      <w:pPr>
        <w:pStyle w:val="ListParagraph"/>
        <w:numPr>
          <w:ilvl w:val="0"/>
          <w:numId w:val="3"/>
        </w:numPr>
        <w:spacing w:line="240" w:lineRule="auto"/>
        <w:rPr>
          <w:sz w:val="26"/>
          <w:szCs w:val="26"/>
        </w:rPr>
      </w:pPr>
      <w:r w:rsidRPr="00B90D9A">
        <w:rPr>
          <w:sz w:val="26"/>
          <w:szCs w:val="26"/>
        </w:rPr>
        <w:t>A copy of the Transcript of Judgment</w:t>
      </w:r>
    </w:p>
    <w:p w14:paraId="79ED8D7C" w14:textId="507FF251" w:rsidR="00B90D9A" w:rsidRPr="00B90D9A" w:rsidRDefault="00B90D9A" w:rsidP="00C03D5B">
      <w:pPr>
        <w:pStyle w:val="ListParagraph"/>
        <w:numPr>
          <w:ilvl w:val="0"/>
          <w:numId w:val="3"/>
        </w:numPr>
        <w:spacing w:line="240" w:lineRule="auto"/>
        <w:rPr>
          <w:sz w:val="26"/>
          <w:szCs w:val="26"/>
        </w:rPr>
      </w:pPr>
      <w:r w:rsidRPr="00B90D9A">
        <w:rPr>
          <w:sz w:val="26"/>
          <w:szCs w:val="26"/>
        </w:rPr>
        <w:t>A copy of previous hearing bundles, if available</w:t>
      </w:r>
    </w:p>
    <w:p w14:paraId="06C82D2A" w14:textId="5FFA51D9" w:rsidR="00451B4B" w:rsidRPr="00451B4B" w:rsidRDefault="00451B4B" w:rsidP="00C03D5B">
      <w:pPr>
        <w:spacing w:after="0" w:line="240" w:lineRule="auto"/>
        <w:jc w:val="center"/>
        <w:rPr>
          <w:i/>
          <w:iCs/>
          <w:color w:val="767171" w:themeColor="background2" w:themeShade="80"/>
          <w:sz w:val="18"/>
          <w:szCs w:val="18"/>
        </w:rPr>
      </w:pPr>
      <w:r>
        <w:rPr>
          <w:i/>
          <w:iCs/>
          <w:color w:val="767171" w:themeColor="background2" w:themeShade="80"/>
          <w:sz w:val="18"/>
          <w:szCs w:val="18"/>
        </w:rPr>
        <w:br/>
      </w:r>
      <w:r w:rsidRPr="00CF3F8D">
        <w:rPr>
          <w:i/>
          <w:iCs/>
          <w:color w:val="808080" w:themeColor="background1" w:themeShade="80"/>
        </w:rPr>
        <w:t xml:space="preserve">COAS is a free service for Litigants in Person who cannot afford legal advice and representation. We reserve the right to request a financial assessment before assisting. For further information please contact us at </w:t>
      </w:r>
      <w:hyperlink r:id="rId9" w:history="1">
        <w:r w:rsidRPr="00CF3F8D">
          <w:rPr>
            <w:rStyle w:val="Hyperlink"/>
            <w:i/>
            <w:iCs/>
            <w:color w:val="808080" w:themeColor="background1" w:themeShade="80"/>
          </w:rPr>
          <w:t>coas@weareadvocate.org.uk</w:t>
        </w:r>
      </w:hyperlink>
      <w:r w:rsidRPr="00CF3F8D">
        <w:rPr>
          <w:i/>
          <w:iCs/>
          <w:color w:val="808080" w:themeColor="background1" w:themeShade="80"/>
        </w:rPr>
        <w:t xml:space="preserve">. </w:t>
      </w:r>
    </w:p>
    <w:sectPr w:rsidR="00451B4B" w:rsidRPr="00451B4B" w:rsidSect="00451B4B">
      <w:headerReference w:type="default" r:id="rId10"/>
      <w:pgSz w:w="16838" w:h="11906" w:orient="landscape"/>
      <w:pgMar w:top="1440" w:right="1440" w:bottom="340" w:left="1440" w:header="709" w:footer="709" w:gutter="0"/>
      <w:pgBorders w:offsetFrom="page">
        <w:top w:val="single" w:sz="18" w:space="24" w:color="E86952"/>
        <w:left w:val="single" w:sz="18" w:space="24" w:color="E86952"/>
        <w:bottom w:val="single" w:sz="18" w:space="24" w:color="E86952"/>
        <w:right w:val="single" w:sz="18" w:space="24" w:color="E8695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C769E" w14:textId="77777777" w:rsidR="004B0614" w:rsidRDefault="004B0614" w:rsidP="00B276C7">
      <w:pPr>
        <w:spacing w:after="0" w:line="240" w:lineRule="auto"/>
      </w:pPr>
      <w:r>
        <w:separator/>
      </w:r>
    </w:p>
  </w:endnote>
  <w:endnote w:type="continuationSeparator" w:id="0">
    <w:p w14:paraId="32ADCE56" w14:textId="77777777" w:rsidR="004B0614" w:rsidRDefault="004B0614" w:rsidP="00B27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ee Serif">
    <w:altName w:val="Calibr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FECF2" w14:textId="77777777" w:rsidR="004B0614" w:rsidRDefault="004B0614" w:rsidP="00B276C7">
      <w:pPr>
        <w:spacing w:after="0" w:line="240" w:lineRule="auto"/>
      </w:pPr>
      <w:r>
        <w:separator/>
      </w:r>
    </w:p>
  </w:footnote>
  <w:footnote w:type="continuationSeparator" w:id="0">
    <w:p w14:paraId="3F9E4725" w14:textId="77777777" w:rsidR="004B0614" w:rsidRDefault="004B0614" w:rsidP="00B27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B4FA6" w14:textId="77777777" w:rsidR="00311B69" w:rsidRPr="00057B50" w:rsidRDefault="00311B69" w:rsidP="00311B69">
    <w:pPr>
      <w:pStyle w:val="Header"/>
      <w:jc w:val="center"/>
    </w:pPr>
    <w:r>
      <w:rPr>
        <w:noProof/>
      </w:rPr>
      <w:drawing>
        <wp:inline distT="0" distB="0" distL="0" distR="0" wp14:anchorId="0DC453D0" wp14:editId="3FD01A92">
          <wp:extent cx="1419225" cy="759465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cjadvic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2030"/>
                  <a:stretch/>
                </pic:blipFill>
                <pic:spPr bwMode="auto">
                  <a:xfrm>
                    <a:off x="0" y="0"/>
                    <a:ext cx="1432768" cy="7667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 wp14:anchorId="2D981BDF" wp14:editId="3F7202C4">
          <wp:extent cx="1409308" cy="585818"/>
          <wp:effectExtent l="0" t="0" r="0" b="0"/>
          <wp:docPr id="2" name="officeArt object" descr="7FC8B320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7FC8B320.jpeg" descr="7FC8B320.jpe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09308" cy="58581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 wp14:anchorId="13E1015B" wp14:editId="39FDC5F8">
          <wp:extent cx="755650" cy="815987"/>
          <wp:effectExtent l="0" t="0" r="635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wWorks_ProBonoAwards2019_logo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616"/>
                  <a:stretch/>
                </pic:blipFill>
                <pic:spPr bwMode="auto">
                  <a:xfrm>
                    <a:off x="0" y="0"/>
                    <a:ext cx="764104" cy="8251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</w:t>
    </w:r>
    <w:r w:rsidRPr="00CF05A7">
      <w:rPr>
        <w:noProof/>
      </w:rPr>
      <w:drawing>
        <wp:inline distT="0" distB="0" distL="0" distR="0" wp14:anchorId="57A080A0" wp14:editId="4373698B">
          <wp:extent cx="1304396" cy="809625"/>
          <wp:effectExtent l="0" t="0" r="0" b="0"/>
          <wp:docPr id="4" name="Picture 4" descr="L:\Cleo\Support Through Court black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Cleo\Support Through Court black logo small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7338" cy="811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27BB4F06" w14:textId="77777777" w:rsidR="00B276C7" w:rsidRDefault="00B276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49B1"/>
    <w:multiLevelType w:val="hybridMultilevel"/>
    <w:tmpl w:val="9B1C0C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4C7333"/>
    <w:multiLevelType w:val="hybridMultilevel"/>
    <w:tmpl w:val="8B7C8B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AE2C76"/>
    <w:multiLevelType w:val="hybridMultilevel"/>
    <w:tmpl w:val="A0B48C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88510554">
    <w:abstractNumId w:val="2"/>
  </w:num>
  <w:num w:numId="2" w16cid:durableId="1084693003">
    <w:abstractNumId w:val="1"/>
  </w:num>
  <w:num w:numId="3" w16cid:durableId="1235552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C7"/>
    <w:rsid w:val="00004868"/>
    <w:rsid w:val="00021EBB"/>
    <w:rsid w:val="00091A13"/>
    <w:rsid w:val="000F6DF1"/>
    <w:rsid w:val="00112F6E"/>
    <w:rsid w:val="0015626A"/>
    <w:rsid w:val="00172AEB"/>
    <w:rsid w:val="001847FA"/>
    <w:rsid w:val="001B2BCA"/>
    <w:rsid w:val="001C78D8"/>
    <w:rsid w:val="00252273"/>
    <w:rsid w:val="002F7F01"/>
    <w:rsid w:val="00311B69"/>
    <w:rsid w:val="003F6CA5"/>
    <w:rsid w:val="00406E83"/>
    <w:rsid w:val="00410ED2"/>
    <w:rsid w:val="00451B4B"/>
    <w:rsid w:val="00473109"/>
    <w:rsid w:val="00496B91"/>
    <w:rsid w:val="004B0614"/>
    <w:rsid w:val="005354EC"/>
    <w:rsid w:val="00633A7E"/>
    <w:rsid w:val="0085256F"/>
    <w:rsid w:val="00872DF8"/>
    <w:rsid w:val="00A32D32"/>
    <w:rsid w:val="00AD6609"/>
    <w:rsid w:val="00B276C7"/>
    <w:rsid w:val="00B90D9A"/>
    <w:rsid w:val="00BB4AED"/>
    <w:rsid w:val="00BC040D"/>
    <w:rsid w:val="00C03D5B"/>
    <w:rsid w:val="00CF3F8D"/>
    <w:rsid w:val="00D23849"/>
    <w:rsid w:val="00EF7983"/>
    <w:rsid w:val="00EF7B57"/>
    <w:rsid w:val="00F1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EF551"/>
  <w15:chartTrackingRefBased/>
  <w15:docId w15:val="{F010D2A4-737C-43F7-88D5-B6B8F562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7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6C7"/>
  </w:style>
  <w:style w:type="paragraph" w:styleId="Footer">
    <w:name w:val="footer"/>
    <w:basedOn w:val="Normal"/>
    <w:link w:val="FooterChar"/>
    <w:uiPriority w:val="99"/>
    <w:unhideWhenUsed/>
    <w:rsid w:val="00B27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6C7"/>
  </w:style>
  <w:style w:type="paragraph" w:customStyle="1" w:styleId="paragraph">
    <w:name w:val="paragraph"/>
    <w:rsid w:val="00B276C7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</w:rPr>
  </w:style>
  <w:style w:type="paragraph" w:styleId="ListParagraph">
    <w:name w:val="List Paragraph"/>
    <w:basedOn w:val="Normal"/>
    <w:uiPriority w:val="34"/>
    <w:qFormat/>
    <w:rsid w:val="00B276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76C7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10ED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10E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0E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0E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E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ED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0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as@weareadvocate.org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052FC-5585-4880-9638-6776FE281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Cairns</dc:creator>
  <cp:keywords/>
  <dc:description/>
  <cp:lastModifiedBy>layton, marcus</cp:lastModifiedBy>
  <cp:revision>2</cp:revision>
  <dcterms:created xsi:type="dcterms:W3CDTF">2024-02-29T09:29:00Z</dcterms:created>
  <dcterms:modified xsi:type="dcterms:W3CDTF">2024-02-29T09:29:00Z</dcterms:modified>
</cp:coreProperties>
</file>